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BB5F" w14:textId="77777777" w:rsidR="005321E3" w:rsidRPr="00534FB9" w:rsidRDefault="005321E3" w:rsidP="005321E3">
      <w:pPr>
        <w:rPr>
          <w:rFonts w:ascii="Arial" w:hAnsi="Arial"/>
          <w:b/>
          <w:szCs w:val="22"/>
        </w:rPr>
      </w:pPr>
    </w:p>
    <w:p w14:paraId="454B64CD" w14:textId="0E7F354B" w:rsidR="005321E3" w:rsidRPr="00DA5852" w:rsidRDefault="00E33907" w:rsidP="00DA5852">
      <w:pPr>
        <w:jc w:val="center"/>
        <w:rPr>
          <w:rFonts w:ascii="Arial" w:hAnsi="Arial"/>
          <w:b/>
          <w:sz w:val="24"/>
          <w:szCs w:val="24"/>
        </w:rPr>
      </w:pPr>
      <w:r w:rsidRPr="001B4B0E">
        <w:rPr>
          <w:rFonts w:ascii="Arial" w:hAnsi="Arial"/>
          <w:b/>
          <w:sz w:val="24"/>
          <w:szCs w:val="24"/>
        </w:rPr>
        <w:t>Risk A</w:t>
      </w:r>
      <w:r w:rsidR="005321E3" w:rsidRPr="001B4B0E">
        <w:rPr>
          <w:rFonts w:ascii="Arial" w:hAnsi="Arial"/>
          <w:b/>
          <w:sz w:val="24"/>
          <w:szCs w:val="24"/>
        </w:rPr>
        <w:t xml:space="preserve">ssessment </w:t>
      </w:r>
      <w:r w:rsidRPr="001B4B0E">
        <w:rPr>
          <w:rFonts w:ascii="Arial" w:hAnsi="Arial"/>
          <w:b/>
          <w:sz w:val="24"/>
          <w:szCs w:val="24"/>
        </w:rPr>
        <w:t>F</w:t>
      </w:r>
      <w:r w:rsidR="005321E3" w:rsidRPr="001B4B0E">
        <w:rPr>
          <w:rFonts w:ascii="Arial" w:hAnsi="Arial"/>
          <w:b/>
          <w:sz w:val="24"/>
          <w:szCs w:val="24"/>
        </w:rPr>
        <w:t>orm</w:t>
      </w:r>
      <w:r w:rsidR="00CA74AA">
        <w:rPr>
          <w:rFonts w:ascii="Arial" w:hAnsi="Arial"/>
          <w:b/>
          <w:sz w:val="24"/>
          <w:szCs w:val="24"/>
        </w:rPr>
        <w:t xml:space="preserve"> for </w:t>
      </w:r>
      <w:r w:rsidR="00416138" w:rsidRPr="00416138">
        <w:rPr>
          <w:rFonts w:ascii="Arial" w:hAnsi="Arial"/>
          <w:b/>
          <w:sz w:val="24"/>
          <w:szCs w:val="24"/>
        </w:rPr>
        <w:t>pathways into accommodation outside the UK</w:t>
      </w:r>
    </w:p>
    <w:p w14:paraId="7866D320" w14:textId="77777777" w:rsidR="005321E3" w:rsidRPr="001B4B0E" w:rsidRDefault="005321E3" w:rsidP="005321E3">
      <w:pPr>
        <w:rPr>
          <w:rFonts w:ascii="Arial" w:hAnsi="Arial"/>
          <w:sz w:val="24"/>
          <w:szCs w:val="24"/>
        </w:rPr>
      </w:pPr>
    </w:p>
    <w:p w14:paraId="1BBE7DD8" w14:textId="062AD5B8" w:rsidR="005321E3" w:rsidRPr="001B4B0E" w:rsidRDefault="00194D98" w:rsidP="005321E3">
      <w:pPr>
        <w:rPr>
          <w:rFonts w:ascii="Arial" w:hAnsi="Arial"/>
          <w:sz w:val="24"/>
          <w:szCs w:val="24"/>
        </w:rPr>
      </w:pPr>
      <w:r w:rsidRPr="001B4B0E">
        <w:rPr>
          <w:rFonts w:ascii="Arial" w:hAnsi="Arial"/>
          <w:sz w:val="24"/>
          <w:szCs w:val="24"/>
        </w:rPr>
        <w:t>Project</w:t>
      </w:r>
      <w:r w:rsidR="00EB5B52">
        <w:rPr>
          <w:rFonts w:ascii="Arial" w:hAnsi="Arial"/>
          <w:sz w:val="24"/>
          <w:szCs w:val="24"/>
        </w:rPr>
        <w:t>:</w:t>
      </w:r>
      <w:r w:rsidR="00532652" w:rsidRPr="00532652">
        <w:rPr>
          <w:rFonts w:ascii="Arial" w:hAnsi="Arial"/>
          <w:sz w:val="24"/>
          <w:szCs w:val="24"/>
        </w:rPr>
        <w:t xml:space="preserve"> </w:t>
      </w:r>
      <w:r w:rsidR="00DC4717">
        <w:rPr>
          <w:rFonts w:ascii="Arial" w:hAnsi="Arial"/>
          <w:sz w:val="24"/>
          <w:szCs w:val="24"/>
        </w:rPr>
        <w:tab/>
      </w:r>
      <w:r w:rsidR="00DC4717">
        <w:rPr>
          <w:rFonts w:ascii="Arial" w:hAnsi="Arial"/>
          <w:sz w:val="24"/>
          <w:szCs w:val="24"/>
        </w:rPr>
        <w:tab/>
      </w:r>
      <w:r w:rsidR="00D00396" w:rsidRPr="001A73CB">
        <w:rPr>
          <w:rFonts w:ascii="Arial" w:hAnsi="Arial"/>
          <w:b/>
          <w:sz w:val="24"/>
          <w:szCs w:val="24"/>
        </w:rPr>
        <w:t xml:space="preserve">                                                             </w:t>
      </w:r>
      <w:r w:rsidR="005321E3" w:rsidRPr="001A73CB">
        <w:rPr>
          <w:rFonts w:ascii="Arial" w:hAnsi="Arial"/>
          <w:sz w:val="24"/>
          <w:szCs w:val="24"/>
        </w:rPr>
        <w:t xml:space="preserve">Date of </w:t>
      </w:r>
      <w:r w:rsidR="00FD2847" w:rsidRPr="001A73CB">
        <w:rPr>
          <w:rFonts w:ascii="Arial" w:hAnsi="Arial"/>
          <w:sz w:val="24"/>
          <w:szCs w:val="24"/>
        </w:rPr>
        <w:t>Assessment</w:t>
      </w:r>
      <w:r w:rsidR="00532652" w:rsidRPr="001A73CB">
        <w:rPr>
          <w:rFonts w:ascii="Arial" w:hAnsi="Arial"/>
          <w:sz w:val="24"/>
          <w:szCs w:val="24"/>
        </w:rPr>
        <w:t xml:space="preserve">: </w:t>
      </w:r>
    </w:p>
    <w:p w14:paraId="75EE8DD3" w14:textId="77777777" w:rsidR="0098126E" w:rsidRDefault="005321E3" w:rsidP="005321E3">
      <w:pPr>
        <w:rPr>
          <w:rFonts w:ascii="Arial" w:hAnsi="Arial"/>
          <w:sz w:val="24"/>
          <w:szCs w:val="24"/>
        </w:rPr>
      </w:pPr>
      <w:r w:rsidRPr="001B4B0E">
        <w:rPr>
          <w:rFonts w:ascii="Arial" w:hAnsi="Arial"/>
          <w:sz w:val="24"/>
          <w:szCs w:val="24"/>
        </w:rPr>
        <w:t>Activity/place being as</w:t>
      </w:r>
      <w:r w:rsidR="001B4B0E">
        <w:rPr>
          <w:rFonts w:ascii="Arial" w:hAnsi="Arial"/>
          <w:sz w:val="24"/>
          <w:szCs w:val="24"/>
        </w:rPr>
        <w:t>sessed</w:t>
      </w:r>
      <w:r w:rsidR="00923B19">
        <w:rPr>
          <w:rFonts w:ascii="Arial" w:hAnsi="Arial"/>
          <w:sz w:val="24"/>
          <w:szCs w:val="24"/>
        </w:rPr>
        <w:t xml:space="preserve">: </w:t>
      </w:r>
    </w:p>
    <w:p w14:paraId="5BC3C6FF" w14:textId="77777777" w:rsidR="005321E3" w:rsidRPr="001B4B0E" w:rsidRDefault="005321E3" w:rsidP="005321E3">
      <w:pPr>
        <w:rPr>
          <w:rFonts w:ascii="Arial" w:hAnsi="Arial"/>
          <w:sz w:val="24"/>
          <w:szCs w:val="24"/>
        </w:rPr>
      </w:pPr>
    </w:p>
    <w:p w14:paraId="00B5FB7C" w14:textId="77777777" w:rsidR="005321E3" w:rsidRPr="001B4B0E" w:rsidRDefault="005321E3" w:rsidP="005321E3">
      <w:pPr>
        <w:rPr>
          <w:rFonts w:ascii="Arial" w:hAnsi="Arial"/>
          <w:sz w:val="24"/>
          <w:szCs w:val="24"/>
        </w:rPr>
      </w:pPr>
      <w:r w:rsidRPr="001B4B0E">
        <w:rPr>
          <w:rFonts w:ascii="Arial" w:hAnsi="Arial"/>
          <w:sz w:val="24"/>
          <w:szCs w:val="24"/>
        </w:rPr>
        <w:t xml:space="preserve">Risk </w:t>
      </w:r>
      <w:r w:rsidR="00EC4F78" w:rsidRPr="001B4B0E">
        <w:rPr>
          <w:rFonts w:ascii="Arial" w:hAnsi="Arial"/>
          <w:sz w:val="24"/>
          <w:szCs w:val="24"/>
        </w:rPr>
        <w:t>A</w:t>
      </w:r>
      <w:r w:rsidRPr="001B4B0E">
        <w:rPr>
          <w:rFonts w:ascii="Arial" w:hAnsi="Arial"/>
          <w:sz w:val="24"/>
          <w:szCs w:val="24"/>
        </w:rPr>
        <w:t>ssessor</w:t>
      </w:r>
      <w:r w:rsidR="001A73CB">
        <w:rPr>
          <w:rFonts w:ascii="Arial" w:hAnsi="Arial"/>
          <w:sz w:val="24"/>
          <w:szCs w:val="24"/>
        </w:rPr>
        <w:t xml:space="preserve">: </w:t>
      </w:r>
    </w:p>
    <w:p w14:paraId="607D652A" w14:textId="50F81B98" w:rsidR="005321E3" w:rsidRPr="001B4B0E" w:rsidRDefault="005321E3" w:rsidP="005321E3">
      <w:pPr>
        <w:rPr>
          <w:rFonts w:ascii="Arial" w:hAnsi="Arial"/>
          <w:sz w:val="24"/>
          <w:szCs w:val="24"/>
        </w:rPr>
      </w:pPr>
      <w:r w:rsidRPr="001B4B0E">
        <w:rPr>
          <w:rFonts w:ascii="Arial" w:hAnsi="Arial"/>
          <w:sz w:val="24"/>
          <w:szCs w:val="24"/>
        </w:rPr>
        <w:t>Staff involved</w:t>
      </w:r>
      <w:r w:rsidR="00AD7230">
        <w:rPr>
          <w:rFonts w:ascii="Arial" w:hAnsi="Arial"/>
          <w:sz w:val="24"/>
          <w:szCs w:val="24"/>
        </w:rPr>
        <w:t>:</w:t>
      </w:r>
      <w:r w:rsidRPr="001B4B0E">
        <w:rPr>
          <w:rFonts w:ascii="Arial" w:hAnsi="Arial"/>
          <w:sz w:val="24"/>
          <w:szCs w:val="24"/>
        </w:rPr>
        <w:t xml:space="preserve"> </w:t>
      </w:r>
    </w:p>
    <w:p w14:paraId="63224BC0" w14:textId="111BAA82" w:rsidR="00923B19" w:rsidRPr="001B4B0E" w:rsidRDefault="005321E3" w:rsidP="005321E3">
      <w:pPr>
        <w:rPr>
          <w:rFonts w:ascii="Arial" w:hAnsi="Arial"/>
          <w:sz w:val="24"/>
          <w:szCs w:val="24"/>
        </w:rPr>
      </w:pPr>
      <w:r w:rsidRPr="001B4B0E">
        <w:rPr>
          <w:rFonts w:ascii="Arial" w:hAnsi="Arial"/>
          <w:sz w:val="24"/>
          <w:szCs w:val="24"/>
        </w:rPr>
        <w:t>Service user involvement</w:t>
      </w:r>
      <w:r w:rsidR="00DC4717">
        <w:rPr>
          <w:rFonts w:ascii="Arial" w:hAnsi="Arial"/>
          <w:sz w:val="24"/>
          <w:szCs w:val="24"/>
        </w:rPr>
        <w:t>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425"/>
        <w:gridCol w:w="1134"/>
        <w:gridCol w:w="5528"/>
        <w:gridCol w:w="426"/>
        <w:gridCol w:w="1842"/>
        <w:gridCol w:w="426"/>
        <w:gridCol w:w="2551"/>
      </w:tblGrid>
      <w:tr w:rsidR="0099726D" w:rsidRPr="00271150" w14:paraId="0DDE0CB1" w14:textId="77777777" w:rsidTr="0042579A">
        <w:trPr>
          <w:trHeight w:val="198"/>
          <w:tblHeader/>
        </w:trPr>
        <w:tc>
          <w:tcPr>
            <w:tcW w:w="1101" w:type="dxa"/>
          </w:tcPr>
          <w:p w14:paraId="35C0F8F7" w14:textId="77777777" w:rsidR="0099726D" w:rsidRPr="00271150" w:rsidRDefault="0099726D" w:rsidP="0042579A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Minimum standard</w:t>
            </w:r>
          </w:p>
        </w:tc>
        <w:tc>
          <w:tcPr>
            <w:tcW w:w="1559" w:type="dxa"/>
          </w:tcPr>
          <w:p w14:paraId="471BEB01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Hazard  </w:t>
            </w:r>
          </w:p>
        </w:tc>
        <w:tc>
          <w:tcPr>
            <w:tcW w:w="425" w:type="dxa"/>
          </w:tcPr>
          <w:p w14:paraId="151365F3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R</w:t>
            </w:r>
          </w:p>
        </w:tc>
        <w:tc>
          <w:tcPr>
            <w:tcW w:w="1134" w:type="dxa"/>
          </w:tcPr>
          <w:p w14:paraId="243AD3ED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Persons </w:t>
            </w:r>
          </w:p>
          <w:p w14:paraId="7FE0EADC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Affected</w:t>
            </w:r>
          </w:p>
        </w:tc>
        <w:tc>
          <w:tcPr>
            <w:tcW w:w="5528" w:type="dxa"/>
          </w:tcPr>
          <w:p w14:paraId="330971CA" w14:textId="77777777" w:rsidR="0099726D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Existing Controls</w:t>
            </w:r>
          </w:p>
          <w:p w14:paraId="3A94F3DA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00FF97D0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23ADC760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420D25CE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251AEB14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1EDB6A4E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60E2FB7B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0712A611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61193BDF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3C587986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4FBC1F14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6A497657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058CFDE2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19181C90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73104F0D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77F3A623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10D43A0E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4C6C356D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37CE359D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72DC8C04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67899FD9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41AF7F7C" w14:textId="77777777" w:rsid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06D4481D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  <w:p w14:paraId="729EE9DD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557EAB82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R</w:t>
            </w:r>
          </w:p>
        </w:tc>
        <w:tc>
          <w:tcPr>
            <w:tcW w:w="1842" w:type="dxa"/>
          </w:tcPr>
          <w:p w14:paraId="77868D8A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Future Controls </w:t>
            </w:r>
            <w:proofErr w:type="gramStart"/>
            <w:r w:rsidRPr="00271150">
              <w:rPr>
                <w:rFonts w:ascii="Arial" w:hAnsi="Arial"/>
                <w:sz w:val="20"/>
              </w:rPr>
              <w:t>-  Action</w:t>
            </w:r>
            <w:proofErr w:type="gramEnd"/>
            <w:r w:rsidRPr="00271150">
              <w:rPr>
                <w:rFonts w:ascii="Arial" w:hAnsi="Arial"/>
                <w:sz w:val="20"/>
              </w:rPr>
              <w:t xml:space="preserve"> Required</w:t>
            </w:r>
          </w:p>
        </w:tc>
        <w:tc>
          <w:tcPr>
            <w:tcW w:w="426" w:type="dxa"/>
          </w:tcPr>
          <w:p w14:paraId="7FF0D5E0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R</w:t>
            </w:r>
          </w:p>
        </w:tc>
        <w:tc>
          <w:tcPr>
            <w:tcW w:w="2551" w:type="dxa"/>
          </w:tcPr>
          <w:p w14:paraId="5549DE32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Comments</w:t>
            </w:r>
          </w:p>
        </w:tc>
      </w:tr>
      <w:tr w:rsidR="0099726D" w:rsidRPr="00271150" w14:paraId="246807CD" w14:textId="77777777" w:rsidTr="0042579A">
        <w:trPr>
          <w:cantSplit/>
          <w:trHeight w:val="4774"/>
        </w:trPr>
        <w:tc>
          <w:tcPr>
            <w:tcW w:w="1101" w:type="dxa"/>
            <w:textDirection w:val="btLr"/>
          </w:tcPr>
          <w:p w14:paraId="1A99A4B1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bCs/>
                <w:sz w:val="20"/>
              </w:rPr>
            </w:pPr>
            <w:r w:rsidRPr="0042579A">
              <w:rPr>
                <w:rFonts w:ascii="Arial" w:hAnsi="Arial"/>
                <w:bCs/>
                <w:sz w:val="20"/>
              </w:rPr>
              <w:t>A route into long term safe accommodatio</w:t>
            </w:r>
            <w:r>
              <w:rPr>
                <w:rFonts w:ascii="Arial" w:hAnsi="Arial"/>
                <w:bCs/>
                <w:sz w:val="20"/>
              </w:rPr>
              <w:t xml:space="preserve">n that is appropriate for the client’s </w:t>
            </w:r>
            <w:r w:rsidRPr="0042579A">
              <w:rPr>
                <w:rFonts w:ascii="Arial" w:hAnsi="Arial"/>
                <w:bCs/>
                <w:sz w:val="20"/>
              </w:rPr>
              <w:t>needs.</w:t>
            </w:r>
          </w:p>
        </w:tc>
        <w:tc>
          <w:tcPr>
            <w:tcW w:w="1559" w:type="dxa"/>
          </w:tcPr>
          <w:p w14:paraId="134FCB3B" w14:textId="77777777" w:rsidR="0099726D" w:rsidRPr="00271150" w:rsidRDefault="0099726D" w:rsidP="00D16B05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Rough sleeping in destination country</w:t>
            </w:r>
          </w:p>
        </w:tc>
        <w:tc>
          <w:tcPr>
            <w:tcW w:w="425" w:type="dxa"/>
          </w:tcPr>
          <w:p w14:paraId="7734615C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F87F8D7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Client</w:t>
            </w:r>
          </w:p>
        </w:tc>
        <w:tc>
          <w:tcPr>
            <w:tcW w:w="5528" w:type="dxa"/>
          </w:tcPr>
          <w:p w14:paraId="0E6211AC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Consider:</w:t>
            </w:r>
          </w:p>
          <w:p w14:paraId="634CA47C" w14:textId="77777777" w:rsidR="0099726D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Does the accommodation offer meet the client’s needs?</w:t>
            </w:r>
          </w:p>
          <w:p w14:paraId="0E4F214F" w14:textId="77777777" w:rsidR="0099726D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 it a sustainable route out of homelessness?</w:t>
            </w:r>
          </w:p>
          <w:p w14:paraId="0CBD9BA2" w14:textId="77777777" w:rsidR="0099726D" w:rsidRPr="00271150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Why did the client leave their home country? </w:t>
            </w:r>
          </w:p>
          <w:p w14:paraId="610857B6" w14:textId="77777777" w:rsidR="0099726D" w:rsidRPr="00271150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Are there any risks to the client if they were to return, e.g. risk of persecution due to their beliefs or sexuality etc. </w:t>
            </w:r>
          </w:p>
          <w:p w14:paraId="1819D45C" w14:textId="77777777" w:rsidR="0099726D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What is the current UK travel advice about travel to the home country?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271150">
              <w:rPr>
                <w:rFonts w:ascii="Arial" w:hAnsi="Arial"/>
                <w:sz w:val="20"/>
              </w:rPr>
              <w:t xml:space="preserve">Are there any Human Rights concerns about this client returning to the </w:t>
            </w:r>
            <w:proofErr w:type="gramStart"/>
            <w:r w:rsidRPr="00271150">
              <w:rPr>
                <w:rFonts w:ascii="Arial" w:hAnsi="Arial"/>
                <w:sz w:val="20"/>
              </w:rPr>
              <w:t>particular area/region/country</w:t>
            </w:r>
            <w:proofErr w:type="gramEnd"/>
            <w:r w:rsidRPr="00271150">
              <w:rPr>
                <w:rFonts w:ascii="Arial" w:hAnsi="Arial"/>
                <w:sz w:val="20"/>
              </w:rPr>
              <w:t>?</w:t>
            </w:r>
          </w:p>
          <w:p w14:paraId="31F48ED6" w14:textId="77777777" w:rsidR="0099726D" w:rsidRPr="00271150" w:rsidRDefault="0099726D" w:rsidP="00271150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b/>
                <w:sz w:val="20"/>
              </w:rPr>
              <w:t>Add sources of information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14:paraId="0E18712D" w14:textId="77777777" w:rsidR="0099726D" w:rsidRDefault="0099726D" w:rsidP="00F61052">
            <w:pPr>
              <w:rPr>
                <w:rFonts w:ascii="Arial" w:hAnsi="Arial"/>
                <w:sz w:val="20"/>
              </w:rPr>
            </w:pPr>
          </w:p>
          <w:p w14:paraId="5ABA7F1F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 w:rsidRPr="00D16B05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What are the client’s views on any risk of returning? </w:t>
            </w:r>
          </w:p>
          <w:p w14:paraId="3FABB5CF" w14:textId="77777777" w:rsidR="0099726D" w:rsidRDefault="0099726D" w:rsidP="00F6105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Include input from the client’s immigration advisor if relevant, and any on the ground contacts</w:t>
            </w:r>
          </w:p>
          <w:p w14:paraId="396A8F1B" w14:textId="77777777" w:rsidR="0099726D" w:rsidRDefault="0099726D" w:rsidP="00F61052">
            <w:pPr>
              <w:rPr>
                <w:rFonts w:ascii="Arial" w:hAnsi="Arial"/>
                <w:sz w:val="20"/>
              </w:rPr>
            </w:pPr>
          </w:p>
          <w:p w14:paraId="4800CE88" w14:textId="77777777" w:rsidR="0099726D" w:rsidRPr="00271150" w:rsidRDefault="0099726D" w:rsidP="00D16B05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Distance from airport to </w:t>
            </w:r>
            <w:proofErr w:type="gramStart"/>
            <w:r w:rsidRPr="00271150">
              <w:rPr>
                <w:rFonts w:ascii="Arial" w:hAnsi="Arial"/>
                <w:sz w:val="20"/>
              </w:rPr>
              <w:t>final destination</w:t>
            </w:r>
            <w:proofErr w:type="gramEnd"/>
          </w:p>
          <w:p w14:paraId="62001B6F" w14:textId="77777777" w:rsidR="0099726D" w:rsidRDefault="0099726D" w:rsidP="00D16B05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Travel arrangements</w:t>
            </w:r>
          </w:p>
          <w:p w14:paraId="39295DF9" w14:textId="77777777" w:rsidR="0099726D" w:rsidRPr="00271150" w:rsidRDefault="0099726D" w:rsidP="00D16B05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How does the client access the </w:t>
            </w:r>
            <w:proofErr w:type="gramStart"/>
            <w:r>
              <w:rPr>
                <w:rFonts w:ascii="Arial" w:hAnsi="Arial"/>
                <w:sz w:val="20"/>
              </w:rPr>
              <w:t>final destination</w:t>
            </w:r>
            <w:proofErr w:type="gramEnd"/>
            <w:r>
              <w:rPr>
                <w:rFonts w:ascii="Arial" w:hAnsi="Arial"/>
                <w:sz w:val="20"/>
              </w:rPr>
              <w:t>?</w:t>
            </w:r>
          </w:p>
          <w:p w14:paraId="0306DB79" w14:textId="77777777" w:rsidR="0099726D" w:rsidRPr="00271150" w:rsidRDefault="0099726D" w:rsidP="00D16B05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Contingency plans</w:t>
            </w:r>
          </w:p>
          <w:p w14:paraId="6D84F76B" w14:textId="77777777" w:rsidR="0099726D" w:rsidRDefault="0099726D" w:rsidP="00F61052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Means of communication</w:t>
            </w:r>
            <w:r>
              <w:rPr>
                <w:rFonts w:ascii="Arial" w:hAnsi="Arial"/>
                <w:sz w:val="20"/>
              </w:rPr>
              <w:t>.</w:t>
            </w:r>
          </w:p>
          <w:p w14:paraId="391E6568" w14:textId="77777777" w:rsidR="00DC4717" w:rsidRPr="00DC4717" w:rsidRDefault="00DC4717" w:rsidP="00DC4717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5E252651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523BD29B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5C0B74B3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3E88E28D" w14:textId="77777777" w:rsidR="0099726D" w:rsidRPr="00271150" w:rsidRDefault="0099726D" w:rsidP="00AD6A5E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054406F8" w14:textId="77777777" w:rsidTr="0042579A">
        <w:trPr>
          <w:cantSplit/>
          <w:trHeight w:val="2677"/>
        </w:trPr>
        <w:tc>
          <w:tcPr>
            <w:tcW w:w="1101" w:type="dxa"/>
            <w:textDirection w:val="btLr"/>
          </w:tcPr>
          <w:p w14:paraId="46000F60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t>Access to or the ability to access doc</w:t>
            </w:r>
            <w:r>
              <w:rPr>
                <w:rFonts w:ascii="Arial" w:hAnsi="Arial"/>
                <w:sz w:val="20"/>
              </w:rPr>
              <w:t xml:space="preserve">umentation that evidences the clients </w:t>
            </w:r>
            <w:r w:rsidRPr="0042579A">
              <w:rPr>
                <w:rFonts w:ascii="Arial" w:hAnsi="Arial"/>
                <w:sz w:val="20"/>
              </w:rPr>
              <w:t>right to reside at the destination.</w:t>
            </w:r>
          </w:p>
        </w:tc>
        <w:tc>
          <w:tcPr>
            <w:tcW w:w="1559" w:type="dxa"/>
          </w:tcPr>
          <w:p w14:paraId="0B5AAFCB" w14:textId="77777777" w:rsidR="0099726D" w:rsidRPr="00271150" w:rsidRDefault="0099726D" w:rsidP="00D16B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Lack of appropriate documentation evidencing right to reside in destination country</w:t>
            </w:r>
          </w:p>
        </w:tc>
        <w:tc>
          <w:tcPr>
            <w:tcW w:w="425" w:type="dxa"/>
          </w:tcPr>
          <w:p w14:paraId="3116B106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E920873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Client </w:t>
            </w:r>
          </w:p>
          <w:p w14:paraId="535AF260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5528" w:type="dxa"/>
          </w:tcPr>
          <w:p w14:paraId="63113B78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Consider:</w:t>
            </w:r>
          </w:p>
          <w:p w14:paraId="27234855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 w:rsidRPr="00D16B05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What documentation/ID does the client have?</w:t>
            </w:r>
          </w:p>
          <w:p w14:paraId="0F9AA146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When was the client last in the destination country?</w:t>
            </w:r>
          </w:p>
          <w:p w14:paraId="3A29BD57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If ETD only, how will the client obtain longer-term ID?</w:t>
            </w:r>
          </w:p>
          <w:p w14:paraId="6E51944F" w14:textId="77777777" w:rsidR="0099726D" w:rsidRDefault="0099726D" w:rsidP="00491953">
            <w:pPr>
              <w:rPr>
                <w:rFonts w:ascii="Arial" w:hAnsi="Arial"/>
                <w:sz w:val="20"/>
              </w:rPr>
            </w:pPr>
          </w:p>
          <w:p w14:paraId="4AB39582" w14:textId="77777777" w:rsidR="0099726D" w:rsidRPr="00271150" w:rsidRDefault="0099726D" w:rsidP="00D16B05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667B6AF9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27C3CEFD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1DE89568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7EB873EB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6A276226" w14:textId="77777777" w:rsidTr="0042579A">
        <w:trPr>
          <w:cantSplit/>
          <w:trHeight w:val="1134"/>
        </w:trPr>
        <w:tc>
          <w:tcPr>
            <w:tcW w:w="1101" w:type="dxa"/>
            <w:textDirection w:val="btLr"/>
          </w:tcPr>
          <w:p w14:paraId="1DCC10AB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lastRenderedPageBreak/>
              <w:t>A route to financial stability</w:t>
            </w:r>
          </w:p>
        </w:tc>
        <w:tc>
          <w:tcPr>
            <w:tcW w:w="1559" w:type="dxa"/>
          </w:tcPr>
          <w:p w14:paraId="38A828EB" w14:textId="77777777" w:rsidR="0099726D" w:rsidRDefault="0099726D" w:rsidP="00C207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Destitution  </w:t>
            </w:r>
          </w:p>
        </w:tc>
        <w:tc>
          <w:tcPr>
            <w:tcW w:w="425" w:type="dxa"/>
          </w:tcPr>
          <w:p w14:paraId="26368D13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15CED33E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Client</w:t>
            </w:r>
          </w:p>
        </w:tc>
        <w:tc>
          <w:tcPr>
            <w:tcW w:w="5528" w:type="dxa"/>
          </w:tcPr>
          <w:p w14:paraId="3A8AB3FC" w14:textId="77777777" w:rsidR="0099726D" w:rsidRDefault="0099726D" w:rsidP="00D16B0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Consider:</w:t>
            </w:r>
          </w:p>
          <w:p w14:paraId="7627A8CE" w14:textId="77777777" w:rsidR="0099726D" w:rsidRDefault="0099726D" w:rsidP="00C20724">
            <w:pPr>
              <w:rPr>
                <w:rFonts w:ascii="Arial" w:hAnsi="Arial"/>
                <w:sz w:val="20"/>
              </w:rPr>
            </w:pPr>
            <w:r w:rsidRPr="00C20724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How is the client going to meet their basic needs in the destination country?</w:t>
            </w:r>
          </w:p>
          <w:p w14:paraId="6A83D401" w14:textId="77777777" w:rsidR="0099726D" w:rsidRDefault="0099726D" w:rsidP="00C207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Does client have a route to income in the destination country e.g. through employment, welfare benefits or through other means?</w:t>
            </w:r>
          </w:p>
          <w:p w14:paraId="5E691D3A" w14:textId="77777777" w:rsidR="0099726D" w:rsidRDefault="0099726D" w:rsidP="00C207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Support through friends/family or other community networks?</w:t>
            </w:r>
          </w:p>
        </w:tc>
        <w:tc>
          <w:tcPr>
            <w:tcW w:w="426" w:type="dxa"/>
          </w:tcPr>
          <w:p w14:paraId="0193255F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050D6530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6DEF9457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B1AB1E5" w14:textId="77777777" w:rsidR="0099726D" w:rsidRPr="00271150" w:rsidRDefault="0099726D" w:rsidP="00491953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5B5F8231" w14:textId="77777777" w:rsidTr="0042579A">
        <w:trPr>
          <w:cantSplit/>
          <w:trHeight w:val="1134"/>
        </w:trPr>
        <w:tc>
          <w:tcPr>
            <w:tcW w:w="1101" w:type="dxa"/>
            <w:textDirection w:val="btLr"/>
          </w:tcPr>
          <w:p w14:paraId="03ED4258" w14:textId="77777777" w:rsidR="0099726D" w:rsidRPr="00271150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lastRenderedPageBreak/>
              <w:t>Access to h</w:t>
            </w:r>
            <w:r>
              <w:rPr>
                <w:rFonts w:ascii="Arial" w:hAnsi="Arial"/>
                <w:sz w:val="20"/>
              </w:rPr>
              <w:t xml:space="preserve">ealthcare that meets the </w:t>
            </w:r>
            <w:proofErr w:type="spellStart"/>
            <w:r>
              <w:rPr>
                <w:rFonts w:ascii="Arial" w:hAnsi="Arial"/>
                <w:sz w:val="20"/>
              </w:rPr>
              <w:t>client</w:t>
            </w:r>
            <w:r w:rsidRPr="0042579A">
              <w:rPr>
                <w:rFonts w:ascii="Arial" w:hAnsi="Arial"/>
                <w:sz w:val="20"/>
              </w:rPr>
              <w:t>s</w:t>
            </w:r>
            <w:proofErr w:type="spellEnd"/>
            <w:r w:rsidRPr="0042579A">
              <w:rPr>
                <w:rFonts w:ascii="Arial" w:hAnsi="Arial"/>
                <w:sz w:val="20"/>
              </w:rPr>
              <w:t xml:space="preserve"> needs</w:t>
            </w:r>
          </w:p>
        </w:tc>
        <w:tc>
          <w:tcPr>
            <w:tcW w:w="1559" w:type="dxa"/>
          </w:tcPr>
          <w:p w14:paraId="4016EB15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Difficulty accessing support and health services in destination country </w:t>
            </w:r>
          </w:p>
          <w:p w14:paraId="4A45588C" w14:textId="77777777" w:rsidR="0099726D" w:rsidRPr="00271150" w:rsidRDefault="0099726D" w:rsidP="00321D6D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425" w:type="dxa"/>
          </w:tcPr>
          <w:p w14:paraId="6162DD7B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28D7A3BB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Client </w:t>
            </w:r>
          </w:p>
        </w:tc>
        <w:tc>
          <w:tcPr>
            <w:tcW w:w="5528" w:type="dxa"/>
          </w:tcPr>
          <w:p w14:paraId="73B113EC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Consider:</w:t>
            </w:r>
          </w:p>
          <w:p w14:paraId="6B564083" w14:textId="77777777" w:rsidR="0099726D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Client’s support needs</w:t>
            </w:r>
          </w:p>
          <w:p w14:paraId="66F5E47D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Access to primary and secondary healthcare</w:t>
            </w:r>
          </w:p>
          <w:p w14:paraId="024B75D7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Access to treatment</w:t>
            </w:r>
          </w:p>
          <w:p w14:paraId="23F47832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Access to specialised care and support, i.e. consultants, mental health, substance abuse</w:t>
            </w:r>
          </w:p>
          <w:p w14:paraId="74B3EDC1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Is health insurance needed?</w:t>
            </w:r>
          </w:p>
          <w:p w14:paraId="35B502EB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Support letters from GP/consultants with recommendations, summary of treatment etc.</w:t>
            </w:r>
          </w:p>
          <w:p w14:paraId="7C3DCA4F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Support letters from doctors translated into local language</w:t>
            </w:r>
          </w:p>
          <w:p w14:paraId="698729D7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Does the client have enough medication or prescriptions?</w:t>
            </w:r>
          </w:p>
          <w:p w14:paraId="015D01BD" w14:textId="77777777" w:rsidR="0099726D" w:rsidRPr="00271150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Is a referral needed to specialised support, i.e. day or community centres needed? </w:t>
            </w:r>
          </w:p>
          <w:p w14:paraId="681860F6" w14:textId="77777777" w:rsidR="0099726D" w:rsidRDefault="0099726D" w:rsidP="00321D6D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What vaccinations are required/advised for entry to the reconnecting country? Does the client require these? </w:t>
            </w:r>
            <w:hyperlink r:id="rId11" w:history="1">
              <w:r w:rsidRPr="00271150">
                <w:rPr>
                  <w:rStyle w:val="Hyperlink"/>
                  <w:rFonts w:ascii="Arial" w:hAnsi="Arial"/>
                  <w:sz w:val="20"/>
                </w:rPr>
                <w:t>https://www.fitfortravel.nhs.uk/destinations</w:t>
              </w:r>
            </w:hyperlink>
            <w:r w:rsidRPr="00271150">
              <w:rPr>
                <w:rFonts w:ascii="Arial" w:hAnsi="Arial"/>
                <w:sz w:val="20"/>
              </w:rPr>
              <w:t xml:space="preserve"> </w:t>
            </w:r>
          </w:p>
          <w:p w14:paraId="0A4CAB24" w14:textId="77777777" w:rsidR="0099726D" w:rsidRPr="00271150" w:rsidRDefault="0099726D" w:rsidP="00E204AA">
            <w:pPr>
              <w:ind w:left="317"/>
              <w:rPr>
                <w:rFonts w:ascii="Arial" w:hAnsi="Arial"/>
                <w:sz w:val="20"/>
              </w:rPr>
            </w:pPr>
          </w:p>
          <w:p w14:paraId="3A4E46FD" w14:textId="77777777" w:rsidR="0099726D" w:rsidRPr="00271150" w:rsidRDefault="0099726D" w:rsidP="00E204AA">
            <w:pPr>
              <w:rPr>
                <w:rFonts w:ascii="Arial" w:hAnsi="Arial"/>
                <w:sz w:val="20"/>
              </w:rPr>
            </w:pPr>
            <w:r w:rsidRPr="00E204AA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Any CV-19 risks and/or restrictions relevant to the client?</w:t>
            </w:r>
          </w:p>
        </w:tc>
        <w:tc>
          <w:tcPr>
            <w:tcW w:w="426" w:type="dxa"/>
          </w:tcPr>
          <w:p w14:paraId="6806399D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51DD36D8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2E8DCB25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0B719A5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32FED167" w14:textId="77777777" w:rsidTr="0042579A">
        <w:trPr>
          <w:cantSplit/>
          <w:trHeight w:val="1988"/>
        </w:trPr>
        <w:tc>
          <w:tcPr>
            <w:tcW w:w="1101" w:type="dxa"/>
            <w:textDirection w:val="btLr"/>
          </w:tcPr>
          <w:p w14:paraId="7A1274ED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t>Links to friends and family networks or other community networks</w:t>
            </w:r>
          </w:p>
        </w:tc>
        <w:tc>
          <w:tcPr>
            <w:tcW w:w="1559" w:type="dxa"/>
          </w:tcPr>
          <w:p w14:paraId="311CB437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Family/friends relationships</w:t>
            </w:r>
          </w:p>
        </w:tc>
        <w:tc>
          <w:tcPr>
            <w:tcW w:w="425" w:type="dxa"/>
          </w:tcPr>
          <w:p w14:paraId="353A6F3C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1DCA0EB1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Client, family members/friends</w:t>
            </w:r>
          </w:p>
        </w:tc>
        <w:tc>
          <w:tcPr>
            <w:tcW w:w="5528" w:type="dxa"/>
          </w:tcPr>
          <w:p w14:paraId="6BA2511F" w14:textId="77777777" w:rsidR="0099726D" w:rsidRDefault="0099726D" w:rsidP="00321D6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Consider:</w:t>
            </w:r>
          </w:p>
          <w:p w14:paraId="4D0F14A3" w14:textId="77777777" w:rsidR="0099726D" w:rsidRDefault="0099726D" w:rsidP="00E204AA">
            <w:pPr>
              <w:rPr>
                <w:rFonts w:ascii="Arial" w:hAnsi="Arial"/>
                <w:sz w:val="20"/>
              </w:rPr>
            </w:pPr>
            <w:r w:rsidRPr="00E204AA"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Any risky relationships in the destination country?</w:t>
            </w:r>
          </w:p>
          <w:p w14:paraId="56978D27" w14:textId="77777777" w:rsidR="0099726D" w:rsidRDefault="0099726D" w:rsidP="00E204A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Risk of domestic abuse?</w:t>
            </w:r>
          </w:p>
          <w:p w14:paraId="0F0EE624" w14:textId="77777777" w:rsidR="0099726D" w:rsidRDefault="0099726D" w:rsidP="00E204A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Risk to others?</w:t>
            </w:r>
          </w:p>
          <w:p w14:paraId="499FA5CE" w14:textId="77777777" w:rsidR="0099726D" w:rsidRPr="00271150" w:rsidRDefault="0099726D" w:rsidP="00E204AA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0CA8A88E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3D570576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4E794A58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1E2600F1" w14:textId="77777777" w:rsidR="0099726D" w:rsidRPr="00271150" w:rsidRDefault="0099726D" w:rsidP="00321D6D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3BFFC5B1" w14:textId="77777777" w:rsidTr="0042579A">
        <w:trPr>
          <w:cantSplit/>
          <w:trHeight w:val="2365"/>
        </w:trPr>
        <w:tc>
          <w:tcPr>
            <w:tcW w:w="1101" w:type="dxa"/>
            <w:textDirection w:val="btLr"/>
          </w:tcPr>
          <w:p w14:paraId="74B42A91" w14:textId="77777777" w:rsidR="0099726D" w:rsidRPr="00271150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t>Other risks are managed, e.g., criminal convictions or unpaid debts</w:t>
            </w:r>
          </w:p>
        </w:tc>
        <w:tc>
          <w:tcPr>
            <w:tcW w:w="1559" w:type="dxa"/>
          </w:tcPr>
          <w:p w14:paraId="3ED1E7D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Being stopped at the border by police/border patrol</w:t>
            </w:r>
          </w:p>
        </w:tc>
        <w:tc>
          <w:tcPr>
            <w:tcW w:w="425" w:type="dxa"/>
          </w:tcPr>
          <w:p w14:paraId="15B759E7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600BB00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Client</w:t>
            </w:r>
          </w:p>
        </w:tc>
        <w:tc>
          <w:tcPr>
            <w:tcW w:w="5528" w:type="dxa"/>
          </w:tcPr>
          <w:p w14:paraId="5512BECC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Consider:</w:t>
            </w:r>
          </w:p>
          <w:p w14:paraId="4B2E831B" w14:textId="77777777" w:rsidR="0099726D" w:rsidRPr="00621C98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eastAsia="Calibri" w:hAnsi="Arial"/>
                <w:sz w:val="20"/>
                <w:lang w:eastAsia="en-GB"/>
              </w:rPr>
            </w:pPr>
            <w:r w:rsidRPr="00271150">
              <w:rPr>
                <w:rFonts w:ascii="Arial" w:eastAsia="Calibri" w:hAnsi="Arial"/>
                <w:sz w:val="20"/>
                <w:lang w:eastAsia="en-GB"/>
              </w:rPr>
              <w:t>Offending history (check assessment) - offer PNC/ACRO checks to clients</w:t>
            </w:r>
            <w:r>
              <w:rPr>
                <w:rFonts w:ascii="Arial" w:eastAsia="Calibri" w:hAnsi="Arial"/>
                <w:sz w:val="20"/>
                <w:lang w:eastAsia="en-GB"/>
              </w:rPr>
              <w:t xml:space="preserve"> </w:t>
            </w:r>
            <w:r w:rsidRPr="00621C98">
              <w:rPr>
                <w:rFonts w:ascii="Arial" w:eastAsia="Calibri" w:hAnsi="Arial"/>
                <w:sz w:val="20"/>
                <w:lang w:eastAsia="en-GB"/>
              </w:rPr>
              <w:t>with offending history</w:t>
            </w:r>
          </w:p>
          <w:p w14:paraId="52688B55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Support letters from their local embassy and/or consulate </w:t>
            </w:r>
          </w:p>
          <w:p w14:paraId="0FB624A2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 support letter from St Mungo’s.</w:t>
            </w:r>
          </w:p>
          <w:p w14:paraId="59A80BC7" w14:textId="77777777" w:rsidR="0099726D" w:rsidRPr="00271150" w:rsidRDefault="0099726D" w:rsidP="00F97A96">
            <w:pPr>
              <w:ind w:left="317" w:hanging="241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1ED8C296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7CADC08B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30C07C5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636F32E1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467A40B5" w14:textId="77777777" w:rsidTr="0042579A">
        <w:trPr>
          <w:cantSplit/>
          <w:trHeight w:val="1134"/>
        </w:trPr>
        <w:tc>
          <w:tcPr>
            <w:tcW w:w="1101" w:type="dxa"/>
            <w:textDirection w:val="btLr"/>
          </w:tcPr>
          <w:p w14:paraId="5E4FFCFA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 w:rsidRPr="0042579A">
              <w:rPr>
                <w:rFonts w:ascii="Arial" w:hAnsi="Arial"/>
                <w:sz w:val="20"/>
              </w:rPr>
              <w:lastRenderedPageBreak/>
              <w:t>Safe travel to the destination is possible</w:t>
            </w:r>
          </w:p>
        </w:tc>
        <w:tc>
          <w:tcPr>
            <w:tcW w:w="1559" w:type="dxa"/>
          </w:tcPr>
          <w:p w14:paraId="3DA8EF51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Journey</w:t>
            </w:r>
          </w:p>
        </w:tc>
        <w:tc>
          <w:tcPr>
            <w:tcW w:w="425" w:type="dxa"/>
          </w:tcPr>
          <w:p w14:paraId="14F1D0DE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1BE69158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Client</w:t>
            </w:r>
          </w:p>
        </w:tc>
        <w:tc>
          <w:tcPr>
            <w:tcW w:w="5528" w:type="dxa"/>
          </w:tcPr>
          <w:p w14:paraId="77629563" w14:textId="77777777" w:rsidR="0099726D" w:rsidRDefault="0099726D" w:rsidP="00F97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Consider:</w:t>
            </w:r>
          </w:p>
          <w:p w14:paraId="1C09EE8E" w14:textId="77777777" w:rsidR="0099726D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Is the client fit to travel? Check the airline restrictions to flying: </w:t>
            </w:r>
            <w:hyperlink r:id="rId12" w:history="1">
              <w:r w:rsidRPr="00271150">
                <w:rPr>
                  <w:rStyle w:val="Hyperlink"/>
                  <w:rFonts w:ascii="Arial" w:hAnsi="Arial"/>
                  <w:sz w:val="20"/>
                </w:rPr>
                <w:t>https://www.fitfortravel.nhs.uk/advice/general-travel-health-advice/air-travel</w:t>
              </w:r>
            </w:hyperlink>
          </w:p>
          <w:p w14:paraId="44116D2A" w14:textId="77777777" w:rsidR="0099726D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4846A8">
              <w:rPr>
                <w:rFonts w:ascii="Arial" w:hAnsi="Arial"/>
                <w:sz w:val="20"/>
              </w:rPr>
              <w:t>Any risks of reconnection not going to plan?</w:t>
            </w:r>
          </w:p>
          <w:p w14:paraId="6B95CB35" w14:textId="77777777" w:rsidR="0099726D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4846A8">
              <w:rPr>
                <w:rFonts w:ascii="Arial" w:hAnsi="Arial"/>
                <w:sz w:val="20"/>
              </w:rPr>
              <w:t>Any risks around the client not making it to the destination?</w:t>
            </w:r>
          </w:p>
          <w:p w14:paraId="6CA1A01F" w14:textId="77777777" w:rsidR="0099726D" w:rsidRPr="004846A8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4846A8">
              <w:rPr>
                <w:rFonts w:ascii="Arial" w:hAnsi="Arial"/>
                <w:sz w:val="20"/>
              </w:rPr>
              <w:t>Any additional support needed to ensure a smooth handover to services or to facilitate safe travel?</w:t>
            </w:r>
          </w:p>
          <w:p w14:paraId="0F88A672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Complexity and length of travel</w:t>
            </w:r>
            <w:r>
              <w:rPr>
                <w:rFonts w:ascii="Arial" w:hAnsi="Arial"/>
                <w:sz w:val="20"/>
              </w:rPr>
              <w:t xml:space="preserve"> - Can the client manage the journey independently?</w:t>
            </w:r>
          </w:p>
          <w:p w14:paraId="08662D86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Clarity of </w:t>
            </w:r>
            <w:proofErr w:type="gramStart"/>
            <w:r w:rsidRPr="00271150">
              <w:rPr>
                <w:rFonts w:ascii="Arial" w:hAnsi="Arial"/>
                <w:sz w:val="20"/>
              </w:rPr>
              <w:t>final destination</w:t>
            </w:r>
            <w:proofErr w:type="gramEnd"/>
            <w:r w:rsidRPr="00271150">
              <w:rPr>
                <w:rFonts w:ascii="Arial" w:hAnsi="Arial"/>
                <w:sz w:val="20"/>
              </w:rPr>
              <w:t xml:space="preserve"> address and arrangements</w:t>
            </w:r>
          </w:p>
          <w:p w14:paraId="52ED1371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English proficiency </w:t>
            </w:r>
          </w:p>
          <w:p w14:paraId="6C0FC4DE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Access to relevant information – client reconnection plan can help mitigate this risk but may need to be translated</w:t>
            </w:r>
          </w:p>
          <w:p w14:paraId="34006B4A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Communication – access to mobile phone with credit and relevant contact details</w:t>
            </w:r>
          </w:p>
          <w:p w14:paraId="0F20CC6E" w14:textId="77777777" w:rsidR="0099726D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Support from staff in London and in home country during reconnection (from family and/or other professionals; airport/border patrol assistance)</w:t>
            </w:r>
          </w:p>
          <w:p w14:paraId="784F4391" w14:textId="77777777" w:rsidR="0099726D" w:rsidRPr="00271150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How will client access food and water during journey? P</w:t>
            </w:r>
            <w:r w:rsidRPr="00271150">
              <w:rPr>
                <w:rFonts w:ascii="Arial" w:hAnsi="Arial"/>
                <w:sz w:val="20"/>
              </w:rPr>
              <w:t xml:space="preserve">rovide practical assistance as needed – where possible this will be in the form of vouchers.  </w:t>
            </w:r>
          </w:p>
          <w:p w14:paraId="13E006F1" w14:textId="77777777" w:rsidR="0099726D" w:rsidRPr="00271150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Provision of cash if necessary – local currency and/or pounds and approved by manager</w:t>
            </w:r>
          </w:p>
          <w:p w14:paraId="1477095F" w14:textId="77777777" w:rsidR="0099726D" w:rsidRPr="004846A8" w:rsidRDefault="0099726D" w:rsidP="004846A8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Client issued with </w:t>
            </w:r>
            <w:r>
              <w:rPr>
                <w:rFonts w:ascii="Arial" w:hAnsi="Arial"/>
                <w:sz w:val="20"/>
              </w:rPr>
              <w:t xml:space="preserve">details of </w:t>
            </w:r>
            <w:r w:rsidRPr="00271150">
              <w:rPr>
                <w:rFonts w:ascii="Arial" w:hAnsi="Arial"/>
                <w:sz w:val="20"/>
              </w:rPr>
              <w:t>money exchange shops and opening times if local currency not available</w:t>
            </w:r>
            <w:r>
              <w:rPr>
                <w:rFonts w:ascii="Arial" w:hAnsi="Arial"/>
                <w:sz w:val="20"/>
              </w:rPr>
              <w:t>.</w:t>
            </w:r>
          </w:p>
          <w:p w14:paraId="35AF2F5E" w14:textId="77777777" w:rsidR="0099726D" w:rsidRPr="00271150" w:rsidRDefault="0099726D" w:rsidP="004846A8">
            <w:pPr>
              <w:ind w:left="317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1CB9094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01A5EAB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552A6D55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57B1439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07D56E70" w14:textId="77777777" w:rsidTr="0042579A">
        <w:trPr>
          <w:cantSplit/>
          <w:trHeight w:val="1134"/>
        </w:trPr>
        <w:tc>
          <w:tcPr>
            <w:tcW w:w="1101" w:type="dxa"/>
            <w:textDirection w:val="btLr"/>
          </w:tcPr>
          <w:p w14:paraId="5B114595" w14:textId="77777777" w:rsidR="0099726D" w:rsidRPr="00271150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Pr="0042579A">
              <w:rPr>
                <w:rFonts w:ascii="Arial" w:hAnsi="Arial"/>
                <w:sz w:val="20"/>
              </w:rPr>
              <w:t>mmigration advice to understand rights and entitlements including implications of leaving the UK on current and future status.</w:t>
            </w:r>
          </w:p>
        </w:tc>
        <w:tc>
          <w:tcPr>
            <w:tcW w:w="1559" w:type="dxa"/>
          </w:tcPr>
          <w:p w14:paraId="40A7393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Reconnection impact on</w:t>
            </w:r>
            <w:r>
              <w:rPr>
                <w:rFonts w:ascii="Arial" w:hAnsi="Arial"/>
                <w:sz w:val="20"/>
              </w:rPr>
              <w:t xml:space="preserve"> entitlements and</w:t>
            </w:r>
            <w:r w:rsidRPr="00271150">
              <w:rPr>
                <w:rFonts w:ascii="Arial" w:hAnsi="Arial"/>
                <w:sz w:val="20"/>
              </w:rPr>
              <w:t xml:space="preserve"> ability to return to UK</w:t>
            </w:r>
          </w:p>
          <w:p w14:paraId="6A4A2BB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</w:tcPr>
          <w:p w14:paraId="3A7C3C0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4B1716D5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Client </w:t>
            </w:r>
          </w:p>
        </w:tc>
        <w:tc>
          <w:tcPr>
            <w:tcW w:w="5528" w:type="dxa"/>
          </w:tcPr>
          <w:p w14:paraId="4FD3B7C1" w14:textId="77777777" w:rsidR="0099726D" w:rsidRPr="00271150" w:rsidRDefault="0099726D" w:rsidP="00F97A96">
            <w:pPr>
              <w:pStyle w:val="Default"/>
              <w:numPr>
                <w:ilvl w:val="0"/>
                <w:numId w:val="1"/>
              </w:numPr>
              <w:ind w:left="317" w:hanging="241"/>
              <w:rPr>
                <w:rFonts w:ascii="Arial" w:hAnsi="Arial" w:cs="Arial"/>
                <w:sz w:val="20"/>
                <w:szCs w:val="20"/>
              </w:rPr>
            </w:pPr>
            <w:r w:rsidRPr="00271150">
              <w:rPr>
                <w:rFonts w:ascii="Arial" w:hAnsi="Arial" w:cs="Arial"/>
                <w:sz w:val="20"/>
                <w:szCs w:val="20"/>
              </w:rPr>
              <w:t xml:space="preserve">Ensure that the client has been offered an immigration advice assessment with a qualified immigration advisor or solicitor. </w:t>
            </w:r>
          </w:p>
          <w:p w14:paraId="083D40CE" w14:textId="77777777" w:rsidR="0099726D" w:rsidRPr="00271150" w:rsidRDefault="0099726D" w:rsidP="00F97A96">
            <w:pPr>
              <w:pStyle w:val="Default"/>
              <w:numPr>
                <w:ilvl w:val="0"/>
                <w:numId w:val="1"/>
              </w:numPr>
              <w:ind w:left="317" w:hanging="241"/>
              <w:rPr>
                <w:rFonts w:ascii="Arial" w:hAnsi="Arial" w:cs="Arial"/>
                <w:i/>
                <w:sz w:val="20"/>
                <w:szCs w:val="20"/>
              </w:rPr>
            </w:pPr>
            <w:r w:rsidRPr="00271150">
              <w:rPr>
                <w:rFonts w:ascii="Arial" w:hAnsi="Arial" w:cs="Arial"/>
                <w:i/>
                <w:sz w:val="20"/>
                <w:szCs w:val="20"/>
              </w:rPr>
              <w:t xml:space="preserve">No clients should be supported to reconnect outside the UK without first being offered to speak to an immigration adviser </w:t>
            </w:r>
            <w:proofErr w:type="gramStart"/>
            <w:r w:rsidRPr="00271150">
              <w:rPr>
                <w:rFonts w:ascii="Arial" w:hAnsi="Arial" w:cs="Arial"/>
                <w:i/>
                <w:sz w:val="20"/>
                <w:szCs w:val="20"/>
              </w:rPr>
              <w:t>in order to</w:t>
            </w:r>
            <w:proofErr w:type="gramEnd"/>
            <w:r w:rsidRPr="00271150">
              <w:rPr>
                <w:rFonts w:ascii="Arial" w:hAnsi="Arial" w:cs="Arial"/>
                <w:i/>
                <w:sz w:val="20"/>
                <w:szCs w:val="20"/>
              </w:rPr>
              <w:t xml:space="preserve"> make an informed decision. This would also apply to clients who want to reconnect even if they have entitlements in the UK. </w:t>
            </w:r>
          </w:p>
          <w:p w14:paraId="30EBE293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i/>
                <w:sz w:val="20"/>
              </w:rPr>
            </w:pPr>
            <w:r w:rsidRPr="00271150">
              <w:rPr>
                <w:rFonts w:ascii="Arial" w:hAnsi="Arial"/>
                <w:i/>
                <w:sz w:val="20"/>
              </w:rPr>
              <w:t xml:space="preserve">If the initial immigration consultation shows a meritorious application can be made, client needs to be </w:t>
            </w:r>
            <w:r w:rsidRPr="00271150">
              <w:rPr>
                <w:rFonts w:ascii="Arial" w:hAnsi="Arial"/>
                <w:i/>
                <w:sz w:val="20"/>
              </w:rPr>
              <w:lastRenderedPageBreak/>
              <w:t>offered further immigration advice by an immigration advisor or solicitor.</w:t>
            </w:r>
          </w:p>
          <w:p w14:paraId="645FDCAB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i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If low merit, explain why this is, e.g. due to lack of evidence or other reason.</w:t>
            </w:r>
          </w:p>
          <w:p w14:paraId="4CA17FF6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i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Confirm whether there are any ongoing immigration appeals.</w:t>
            </w:r>
          </w:p>
          <w:p w14:paraId="6AB6D329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Document whether you have seen </w:t>
            </w:r>
            <w:r>
              <w:rPr>
                <w:rFonts w:ascii="Arial" w:hAnsi="Arial"/>
                <w:sz w:val="20"/>
              </w:rPr>
              <w:t xml:space="preserve">the WCA letter </w:t>
            </w:r>
          </w:p>
          <w:p w14:paraId="02CFC116" w14:textId="77777777" w:rsidR="0099726D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If the client has made a EUSS application, check if they have access to it.</w:t>
            </w:r>
          </w:p>
          <w:p w14:paraId="772F1FC3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Any welfare rights concerns, i.e. does the client have a route to benefits in the UK?</w:t>
            </w:r>
          </w:p>
        </w:tc>
        <w:tc>
          <w:tcPr>
            <w:tcW w:w="426" w:type="dxa"/>
          </w:tcPr>
          <w:p w14:paraId="65E2739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3B78C95C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23D1AB0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3D9B3F3A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</w:tr>
      <w:tr w:rsidR="0099726D" w:rsidRPr="00271150" w14:paraId="160D52CC" w14:textId="77777777" w:rsidTr="0042579A">
        <w:trPr>
          <w:cantSplit/>
          <w:trHeight w:val="1134"/>
        </w:trPr>
        <w:tc>
          <w:tcPr>
            <w:tcW w:w="1101" w:type="dxa"/>
            <w:textDirection w:val="btLr"/>
          </w:tcPr>
          <w:p w14:paraId="21FA746A" w14:textId="77777777" w:rsidR="0099726D" w:rsidRDefault="0042579A" w:rsidP="0042579A">
            <w:pPr>
              <w:ind w:left="113" w:right="113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Client must have capacity to accept or reject the offer</w:t>
            </w:r>
          </w:p>
        </w:tc>
        <w:tc>
          <w:tcPr>
            <w:tcW w:w="1559" w:type="dxa"/>
          </w:tcPr>
          <w:p w14:paraId="2050C30D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Lack of capacity</w:t>
            </w:r>
          </w:p>
        </w:tc>
        <w:tc>
          <w:tcPr>
            <w:tcW w:w="425" w:type="dxa"/>
          </w:tcPr>
          <w:p w14:paraId="55579A92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</w:tcPr>
          <w:p w14:paraId="1CD1AC82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Client   </w:t>
            </w:r>
          </w:p>
        </w:tc>
        <w:tc>
          <w:tcPr>
            <w:tcW w:w="5528" w:type="dxa"/>
          </w:tcPr>
          <w:p w14:paraId="32D3A60F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Consider:</w:t>
            </w:r>
          </w:p>
          <w:p w14:paraId="7C965514" w14:textId="77777777" w:rsidR="0099726D" w:rsidRDefault="0099726D" w:rsidP="00A44EDE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Any concerns related to the client’s ability to accept or reject a service offer?</w:t>
            </w:r>
          </w:p>
          <w:p w14:paraId="2E4AD2FB" w14:textId="77777777" w:rsidR="0099726D" w:rsidRDefault="0099726D" w:rsidP="00A44EDE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Fluctuating/capacity concerns? </w:t>
            </w:r>
          </w:p>
          <w:p w14:paraId="078CC49F" w14:textId="77777777" w:rsidR="0099726D" w:rsidRDefault="0099726D" w:rsidP="00A44EDE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EASL’s input?</w:t>
            </w:r>
          </w:p>
          <w:p w14:paraId="3E5FCEA5" w14:textId="77777777" w:rsidR="0099726D" w:rsidRPr="00271150" w:rsidRDefault="0099726D" w:rsidP="00A44EDE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Statutory mental health services and/or Adult Social Care input, if relevant.</w:t>
            </w:r>
          </w:p>
        </w:tc>
        <w:tc>
          <w:tcPr>
            <w:tcW w:w="426" w:type="dxa"/>
          </w:tcPr>
          <w:p w14:paraId="7C876355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70FABA7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         </w:t>
            </w:r>
          </w:p>
        </w:tc>
        <w:tc>
          <w:tcPr>
            <w:tcW w:w="426" w:type="dxa"/>
          </w:tcPr>
          <w:p w14:paraId="5DCFB04E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   </w:t>
            </w:r>
          </w:p>
        </w:tc>
        <w:tc>
          <w:tcPr>
            <w:tcW w:w="2551" w:type="dxa"/>
          </w:tcPr>
          <w:p w14:paraId="03AB9B26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  <w:p w14:paraId="696BA91D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  <w:p w14:paraId="6243B319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  <w:p w14:paraId="5A3A9FB2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 xml:space="preserve">       </w:t>
            </w:r>
          </w:p>
        </w:tc>
      </w:tr>
      <w:tr w:rsidR="0099726D" w:rsidRPr="00271150" w14:paraId="544D1914" w14:textId="77777777" w:rsidTr="0042579A">
        <w:trPr>
          <w:trHeight w:val="476"/>
        </w:trPr>
        <w:tc>
          <w:tcPr>
            <w:tcW w:w="1101" w:type="dxa"/>
          </w:tcPr>
          <w:p w14:paraId="182E1B80" w14:textId="77777777" w:rsidR="0099726D" w:rsidRPr="00271150" w:rsidRDefault="0099726D" w:rsidP="0042579A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14:paraId="3BE1CA9A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Any other risks involved with reconnecting this client</w:t>
            </w:r>
          </w:p>
        </w:tc>
        <w:tc>
          <w:tcPr>
            <w:tcW w:w="425" w:type="dxa"/>
          </w:tcPr>
          <w:p w14:paraId="60264C43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</w:tcPr>
          <w:p w14:paraId="384889C5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5528" w:type="dxa"/>
          </w:tcPr>
          <w:p w14:paraId="51DA25D4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Consider:</w:t>
            </w:r>
          </w:p>
          <w:p w14:paraId="38EA18FF" w14:textId="77777777" w:rsidR="0099726D" w:rsidRPr="00271150" w:rsidRDefault="0099726D" w:rsidP="00F97A96">
            <w:pPr>
              <w:numPr>
                <w:ilvl w:val="0"/>
                <w:numId w:val="1"/>
              </w:numPr>
              <w:ind w:left="317" w:hanging="241"/>
              <w:rPr>
                <w:rFonts w:ascii="Arial" w:hAnsi="Arial"/>
                <w:sz w:val="20"/>
              </w:rPr>
            </w:pPr>
            <w:r w:rsidRPr="00271150">
              <w:rPr>
                <w:rFonts w:ascii="Arial" w:hAnsi="Arial"/>
                <w:sz w:val="20"/>
              </w:rPr>
              <w:t>Anything else not captured in the above sections that is relevant to reconnecting this client.</w:t>
            </w:r>
          </w:p>
        </w:tc>
        <w:tc>
          <w:tcPr>
            <w:tcW w:w="426" w:type="dxa"/>
          </w:tcPr>
          <w:p w14:paraId="07CDC675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14:paraId="7C43257B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</w:tcPr>
          <w:p w14:paraId="3701DB9E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</w:tcPr>
          <w:p w14:paraId="5D5300A8" w14:textId="77777777" w:rsidR="0099726D" w:rsidRPr="00271150" w:rsidRDefault="0099726D" w:rsidP="00F97A96">
            <w:pPr>
              <w:rPr>
                <w:rFonts w:ascii="Arial" w:hAnsi="Arial"/>
                <w:sz w:val="20"/>
              </w:rPr>
            </w:pPr>
          </w:p>
        </w:tc>
      </w:tr>
    </w:tbl>
    <w:p w14:paraId="2CC7EB42" w14:textId="77777777" w:rsidR="005321E3" w:rsidRPr="001B4B0E" w:rsidRDefault="005321E3" w:rsidP="005321E3">
      <w:pPr>
        <w:rPr>
          <w:rFonts w:ascii="Arial" w:hAnsi="Arial"/>
          <w:sz w:val="24"/>
          <w:szCs w:val="24"/>
        </w:rPr>
      </w:pPr>
    </w:p>
    <w:p w14:paraId="6F07126B" w14:textId="77777777" w:rsidR="00DF3BD0" w:rsidRDefault="00DF3BD0" w:rsidP="00DF3BD0">
      <w:pPr>
        <w:rPr>
          <w:rFonts w:ascii="Arial" w:hAnsi="Arial"/>
          <w:b/>
          <w:bCs/>
        </w:rPr>
      </w:pPr>
    </w:p>
    <w:sectPr w:rsidR="00DF3BD0" w:rsidSect="00AD72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7659" w14:textId="77777777" w:rsidR="0056125D" w:rsidRDefault="0056125D" w:rsidP="00E33907">
      <w:r>
        <w:separator/>
      </w:r>
    </w:p>
  </w:endnote>
  <w:endnote w:type="continuationSeparator" w:id="0">
    <w:p w14:paraId="5E1230CC" w14:textId="77777777" w:rsidR="0056125D" w:rsidRDefault="0056125D" w:rsidP="00E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ixage Book/Bold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9F75" w14:textId="77777777" w:rsidR="002A268F" w:rsidRDefault="002A2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4567F" w14:textId="77777777" w:rsidR="00F866E3" w:rsidRDefault="00F86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661F" w14:textId="77777777" w:rsidR="002A268F" w:rsidRDefault="002A2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595A" w14:textId="77777777" w:rsidR="0056125D" w:rsidRDefault="0056125D" w:rsidP="00E33907">
      <w:r>
        <w:separator/>
      </w:r>
    </w:p>
  </w:footnote>
  <w:footnote w:type="continuationSeparator" w:id="0">
    <w:p w14:paraId="05DC9147" w14:textId="77777777" w:rsidR="0056125D" w:rsidRDefault="0056125D" w:rsidP="00E3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98C4" w14:textId="77777777" w:rsidR="002A268F" w:rsidRDefault="002A2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4CFD" w14:textId="7F8147CD" w:rsidR="00E33907" w:rsidRPr="007408A4" w:rsidRDefault="007408A4">
    <w:pPr>
      <w:pStyle w:val="Header"/>
      <w:rPr>
        <w:b/>
        <w:bCs/>
      </w:rPr>
    </w:pPr>
    <w:r w:rsidRPr="007408A4">
      <w:rPr>
        <w:rFonts w:ascii="Arial" w:hAnsi="Arial"/>
        <w:b/>
        <w:bCs/>
        <w:sz w:val="20"/>
        <w:highlight w:val="yellow"/>
      </w:rPr>
      <w:t xml:space="preserve">TEMPLATE TO BE ADAPTED BY YOUR ORGANISATON </w:t>
    </w:r>
    <w:r w:rsidRPr="007408A4">
      <w:rPr>
        <w:rFonts w:ascii="Arial" w:hAnsi="Arial"/>
        <w:b/>
        <w:bCs/>
        <w:sz w:val="20"/>
        <w:highlight w:val="yellow"/>
      </w:rPr>
      <w:tab/>
    </w:r>
    <w:r w:rsidRPr="007408A4">
      <w:rPr>
        <w:rFonts w:ascii="Arial" w:hAnsi="Arial"/>
        <w:b/>
        <w:bCs/>
        <w:sz w:val="20"/>
        <w:highlight w:val="yellow"/>
      </w:rPr>
      <w:tab/>
    </w:r>
    <w:r w:rsidRPr="007408A4">
      <w:rPr>
        <w:rFonts w:ascii="Arial" w:hAnsi="Arial"/>
        <w:b/>
        <w:bCs/>
        <w:sz w:val="20"/>
        <w:highlight w:val="yellow"/>
      </w:rPr>
      <w:tab/>
      <w:t>ORGANISATIONAL LOGO</w:t>
    </w:r>
    <w:r>
      <w:rPr>
        <w:rFonts w:ascii="Arial" w:hAnsi="Arial"/>
        <w:b/>
        <w:bCs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792C4" w14:textId="77777777" w:rsidR="002A268F" w:rsidRDefault="002A2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639B"/>
    <w:multiLevelType w:val="hybridMultilevel"/>
    <w:tmpl w:val="4C4A1450"/>
    <w:lvl w:ilvl="0" w:tplc="95824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10E28"/>
    <w:multiLevelType w:val="hybridMultilevel"/>
    <w:tmpl w:val="FAF67A4C"/>
    <w:lvl w:ilvl="0" w:tplc="8A7C5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96356"/>
    <w:multiLevelType w:val="hybridMultilevel"/>
    <w:tmpl w:val="B1129990"/>
    <w:lvl w:ilvl="0" w:tplc="ED3A4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58769">
    <w:abstractNumId w:val="0"/>
  </w:num>
  <w:num w:numId="2" w16cid:durableId="952057987">
    <w:abstractNumId w:val="2"/>
  </w:num>
  <w:num w:numId="3" w16cid:durableId="83908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E3"/>
    <w:rsid w:val="00007D2B"/>
    <w:rsid w:val="00034523"/>
    <w:rsid w:val="00054F1C"/>
    <w:rsid w:val="00064305"/>
    <w:rsid w:val="00073CA7"/>
    <w:rsid w:val="000A456D"/>
    <w:rsid w:val="000C6352"/>
    <w:rsid w:val="000D5BAB"/>
    <w:rsid w:val="000E7E1B"/>
    <w:rsid w:val="001833CD"/>
    <w:rsid w:val="0019286C"/>
    <w:rsid w:val="00194D98"/>
    <w:rsid w:val="001A73CB"/>
    <w:rsid w:val="001B02DC"/>
    <w:rsid w:val="001B2A12"/>
    <w:rsid w:val="001B4B0E"/>
    <w:rsid w:val="001E0F1D"/>
    <w:rsid w:val="002073B7"/>
    <w:rsid w:val="00211B82"/>
    <w:rsid w:val="00241065"/>
    <w:rsid w:val="00271150"/>
    <w:rsid w:val="00283C0C"/>
    <w:rsid w:val="00284940"/>
    <w:rsid w:val="002A268F"/>
    <w:rsid w:val="002B2A7E"/>
    <w:rsid w:val="002B32A3"/>
    <w:rsid w:val="002C22B7"/>
    <w:rsid w:val="002C3D97"/>
    <w:rsid w:val="002C5BC4"/>
    <w:rsid w:val="002E0006"/>
    <w:rsid w:val="00321D6D"/>
    <w:rsid w:val="0032537B"/>
    <w:rsid w:val="00350DC2"/>
    <w:rsid w:val="003557C8"/>
    <w:rsid w:val="00387B20"/>
    <w:rsid w:val="003C21C4"/>
    <w:rsid w:val="0040219F"/>
    <w:rsid w:val="00411343"/>
    <w:rsid w:val="00416138"/>
    <w:rsid w:val="0042579A"/>
    <w:rsid w:val="00425B51"/>
    <w:rsid w:val="00435842"/>
    <w:rsid w:val="00435F09"/>
    <w:rsid w:val="00452AAD"/>
    <w:rsid w:val="00462B86"/>
    <w:rsid w:val="004750DE"/>
    <w:rsid w:val="004846A8"/>
    <w:rsid w:val="00491953"/>
    <w:rsid w:val="004932CD"/>
    <w:rsid w:val="0049514E"/>
    <w:rsid w:val="004A3124"/>
    <w:rsid w:val="004A3A58"/>
    <w:rsid w:val="004A765D"/>
    <w:rsid w:val="004B5E03"/>
    <w:rsid w:val="004C29B9"/>
    <w:rsid w:val="004E3A31"/>
    <w:rsid w:val="004E6920"/>
    <w:rsid w:val="004F0EF8"/>
    <w:rsid w:val="004F25A3"/>
    <w:rsid w:val="00516889"/>
    <w:rsid w:val="00531D5A"/>
    <w:rsid w:val="005321E3"/>
    <w:rsid w:val="00532652"/>
    <w:rsid w:val="00535B63"/>
    <w:rsid w:val="00536E41"/>
    <w:rsid w:val="0056125D"/>
    <w:rsid w:val="00575F38"/>
    <w:rsid w:val="005B3F43"/>
    <w:rsid w:val="005B6E3F"/>
    <w:rsid w:val="005F2E6E"/>
    <w:rsid w:val="00621C98"/>
    <w:rsid w:val="00652607"/>
    <w:rsid w:val="00686BFB"/>
    <w:rsid w:val="006C0E52"/>
    <w:rsid w:val="006C6905"/>
    <w:rsid w:val="006E0FA6"/>
    <w:rsid w:val="006F1DAA"/>
    <w:rsid w:val="006F3C0C"/>
    <w:rsid w:val="00702DC4"/>
    <w:rsid w:val="007035BB"/>
    <w:rsid w:val="00705961"/>
    <w:rsid w:val="00707610"/>
    <w:rsid w:val="00711F70"/>
    <w:rsid w:val="007241F2"/>
    <w:rsid w:val="007408A4"/>
    <w:rsid w:val="00744641"/>
    <w:rsid w:val="00752749"/>
    <w:rsid w:val="007534E7"/>
    <w:rsid w:val="007865C3"/>
    <w:rsid w:val="007C473E"/>
    <w:rsid w:val="007D3795"/>
    <w:rsid w:val="007D6FBF"/>
    <w:rsid w:val="007E4241"/>
    <w:rsid w:val="007F00D9"/>
    <w:rsid w:val="007F3E74"/>
    <w:rsid w:val="0083618F"/>
    <w:rsid w:val="0084669E"/>
    <w:rsid w:val="00857CB4"/>
    <w:rsid w:val="008B2B81"/>
    <w:rsid w:val="008B5FBE"/>
    <w:rsid w:val="009128C1"/>
    <w:rsid w:val="0091295D"/>
    <w:rsid w:val="009132DA"/>
    <w:rsid w:val="0091662F"/>
    <w:rsid w:val="00916670"/>
    <w:rsid w:val="00923B19"/>
    <w:rsid w:val="00943CBE"/>
    <w:rsid w:val="00955E3C"/>
    <w:rsid w:val="00972A77"/>
    <w:rsid w:val="009762E1"/>
    <w:rsid w:val="00977249"/>
    <w:rsid w:val="0098126E"/>
    <w:rsid w:val="00985E4C"/>
    <w:rsid w:val="0099726D"/>
    <w:rsid w:val="009B359A"/>
    <w:rsid w:val="009E728B"/>
    <w:rsid w:val="00A11E0A"/>
    <w:rsid w:val="00A44EDE"/>
    <w:rsid w:val="00A6080A"/>
    <w:rsid w:val="00A75D7A"/>
    <w:rsid w:val="00A804DE"/>
    <w:rsid w:val="00A80D6D"/>
    <w:rsid w:val="00A85590"/>
    <w:rsid w:val="00AA15E9"/>
    <w:rsid w:val="00AB0401"/>
    <w:rsid w:val="00AB6196"/>
    <w:rsid w:val="00AD6A5E"/>
    <w:rsid w:val="00AD7230"/>
    <w:rsid w:val="00AF69C1"/>
    <w:rsid w:val="00B1384D"/>
    <w:rsid w:val="00B2308C"/>
    <w:rsid w:val="00B50906"/>
    <w:rsid w:val="00B702A0"/>
    <w:rsid w:val="00BA2144"/>
    <w:rsid w:val="00BB1228"/>
    <w:rsid w:val="00BE1958"/>
    <w:rsid w:val="00C101FA"/>
    <w:rsid w:val="00C20724"/>
    <w:rsid w:val="00C233E0"/>
    <w:rsid w:val="00C31F5A"/>
    <w:rsid w:val="00C36FF1"/>
    <w:rsid w:val="00C41472"/>
    <w:rsid w:val="00C63EC6"/>
    <w:rsid w:val="00C846D5"/>
    <w:rsid w:val="00CA74AA"/>
    <w:rsid w:val="00CE2E78"/>
    <w:rsid w:val="00CF2F00"/>
    <w:rsid w:val="00CF49F4"/>
    <w:rsid w:val="00D00396"/>
    <w:rsid w:val="00D06EAA"/>
    <w:rsid w:val="00D16B05"/>
    <w:rsid w:val="00D22E84"/>
    <w:rsid w:val="00D24DE0"/>
    <w:rsid w:val="00D91B02"/>
    <w:rsid w:val="00DA5852"/>
    <w:rsid w:val="00DC040A"/>
    <w:rsid w:val="00DC4717"/>
    <w:rsid w:val="00DD58CA"/>
    <w:rsid w:val="00DE51C8"/>
    <w:rsid w:val="00DF3BD0"/>
    <w:rsid w:val="00E204AA"/>
    <w:rsid w:val="00E21325"/>
    <w:rsid w:val="00E27967"/>
    <w:rsid w:val="00E33907"/>
    <w:rsid w:val="00E44B22"/>
    <w:rsid w:val="00E52ABC"/>
    <w:rsid w:val="00E80A16"/>
    <w:rsid w:val="00E90712"/>
    <w:rsid w:val="00EB5B52"/>
    <w:rsid w:val="00EC4F78"/>
    <w:rsid w:val="00F0449C"/>
    <w:rsid w:val="00F11F7D"/>
    <w:rsid w:val="00F34FFE"/>
    <w:rsid w:val="00F61052"/>
    <w:rsid w:val="00F866E3"/>
    <w:rsid w:val="00F8705F"/>
    <w:rsid w:val="00F97A96"/>
    <w:rsid w:val="00FA357C"/>
    <w:rsid w:val="00FA6E76"/>
    <w:rsid w:val="00FC54A9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674E0"/>
  <w15:chartTrackingRefBased/>
  <w15:docId w15:val="{3020F2C5-105A-6C45-8A1A-3C2A89A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E3"/>
    <w:rPr>
      <w:rFonts w:ascii="Univers" w:eastAsia="Times New Roman" w:hAnsi="Univers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9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3907"/>
    <w:rPr>
      <w:rFonts w:ascii="Univers" w:eastAsia="Times New Roman" w:hAnsi="Univers" w:cs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39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3907"/>
    <w:rPr>
      <w:rFonts w:ascii="Univers" w:eastAsia="Times New Roman" w:hAnsi="Univers" w:cs="Arial"/>
      <w:sz w:val="22"/>
      <w:lang w:eastAsia="en-US"/>
    </w:rPr>
  </w:style>
  <w:style w:type="paragraph" w:styleId="BodyText">
    <w:name w:val="Body Text"/>
    <w:basedOn w:val="Normal"/>
    <w:link w:val="BodyTextChar"/>
    <w:rsid w:val="00DF3BD0"/>
    <w:pPr>
      <w:jc w:val="both"/>
    </w:pPr>
    <w:rPr>
      <w:rFonts w:ascii="Mixage Book/Bold" w:hAnsi="Mixage Book/Bold" w:cs="Times New Roman"/>
      <w:sz w:val="24"/>
      <w:szCs w:val="24"/>
    </w:rPr>
  </w:style>
  <w:style w:type="character" w:customStyle="1" w:styleId="BodyTextChar">
    <w:name w:val="Body Text Char"/>
    <w:link w:val="BodyText"/>
    <w:rsid w:val="00DF3BD0"/>
    <w:rPr>
      <w:rFonts w:ascii="Mixage Book/Bold" w:eastAsia="Times New Roman" w:hAnsi="Mixage Book/Bold"/>
      <w:sz w:val="24"/>
      <w:szCs w:val="24"/>
      <w:lang w:eastAsia="en-US"/>
    </w:rPr>
  </w:style>
  <w:style w:type="character" w:styleId="Hyperlink">
    <w:name w:val="Hyperlink"/>
    <w:uiPriority w:val="99"/>
    <w:unhideWhenUsed/>
    <w:rsid w:val="00F34FF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DD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8C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D58CA"/>
    <w:rPr>
      <w:rFonts w:ascii="Univers" w:eastAsia="Times New Roman" w:hAnsi="Univers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58CA"/>
    <w:rPr>
      <w:rFonts w:ascii="Univers" w:eastAsia="Times New Roman" w:hAnsi="Univers" w:cs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58CA"/>
    <w:rPr>
      <w:rFonts w:ascii="Segoe UI" w:eastAsia="Times New Roman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C36FF1"/>
    <w:rPr>
      <w:rFonts w:ascii="Univers" w:eastAsia="Times New Roman" w:hAnsi="Univers" w:cs="Arial"/>
      <w:sz w:val="22"/>
    </w:rPr>
  </w:style>
  <w:style w:type="paragraph" w:customStyle="1" w:styleId="Default">
    <w:name w:val="Default"/>
    <w:rsid w:val="00E2796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35B63"/>
    <w:pPr>
      <w:ind w:left="720"/>
    </w:pPr>
  </w:style>
  <w:style w:type="character" w:styleId="FollowedHyperlink">
    <w:name w:val="FollowedHyperlink"/>
    <w:uiPriority w:val="99"/>
    <w:semiHidden/>
    <w:unhideWhenUsed/>
    <w:rsid w:val="009132D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tfortravel.nhs.uk/advice/general-travel-health-advice/air-trave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tfortravel.nhs.uk/destin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B5438DC61A044B44170C2F22256AE" ma:contentTypeVersion="19" ma:contentTypeDescription="Create a new document." ma:contentTypeScope="" ma:versionID="d9aea12aad4ca0132a9d068aa4dc2fd3">
  <xsd:schema xmlns:xsd="http://www.w3.org/2001/XMLSchema" xmlns:xs="http://www.w3.org/2001/XMLSchema" xmlns:p="http://schemas.microsoft.com/office/2006/metadata/properties" xmlns:ns2="4243ea80-3aed-44e6-a3e3-e17f435f05e1" xmlns:ns3="58e70fe8-39f0-44b6-911b-1a3172ab7120" targetNamespace="http://schemas.microsoft.com/office/2006/metadata/properties" ma:root="true" ma:fieldsID="9b3ce4f0526aec75ecd9450221725c69" ns2:_="" ns3:_="">
    <xsd:import namespace="4243ea80-3aed-44e6-a3e3-e17f435f05e1"/>
    <xsd:import namespace="58e70fe8-39f0-44b6-911b-1a3172ab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Tags" minOccurs="0"/>
                <xsd:element ref="ns2:Tagsdes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ea80-3aed-44e6-a3e3-e17f435f0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ad1e7c8-7dee-47c7-b860-d4f1735c9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union memberTypes="dms:Text">
          <xsd:simpleType>
            <xsd:restriction base="dms:Choice">
              <xsd:enumeration value="Immigration advice"/>
              <xsd:enumeration value="Reconnection"/>
              <xsd:enumeration value="Choice 3"/>
            </xsd:restriction>
          </xsd:simpleType>
        </xsd:union>
      </xsd:simpleType>
    </xsd:element>
    <xsd:element name="Tagsdescription" ma:index="23" nillable="true" ma:displayName="Tags description" ma:format="Dropdown" ma:internalName="Tagsdescription">
      <xsd:simpleType>
        <xsd:restriction base="dms:Text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70fe8-39f0-44b6-911b-1a3172ab71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594ab8-f4de-4916-ab56-0ec139f51eff}" ma:internalName="TaxCatchAll" ma:showField="CatchAllData" ma:web="58e70fe8-39f0-44b6-911b-1a3172ab7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8BEA3-E9F6-4622-B340-B3D9C62C9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3ea80-3aed-44e6-a3e3-e17f435f05e1"/>
    <ds:schemaRef ds:uri="58e70fe8-39f0-44b6-911b-1a3172ab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2EE4-E286-4D6F-AFAB-A37D033C63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1C6DC-2C0C-408B-9F63-423518D08A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73EDAD-F04C-4882-B435-802A28AC2E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Mungos</Company>
  <LinksUpToDate>false</LinksUpToDate>
  <CharactersWithSpaces>6499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https://www.fitfortravel.nhs.uk/advice/general-travel-health-advice/air-travel</vt:lpwstr>
      </vt:variant>
      <vt:variant>
        <vt:lpwstr/>
      </vt:variant>
      <vt:variant>
        <vt:i4>852054</vt:i4>
      </vt:variant>
      <vt:variant>
        <vt:i4>0</vt:i4>
      </vt:variant>
      <vt:variant>
        <vt:i4>0</vt:i4>
      </vt:variant>
      <vt:variant>
        <vt:i4>5</vt:i4>
      </vt:variant>
      <vt:variant>
        <vt:lpwstr>https://www.fitfortravel.nhs.uk/destinations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eileens</dc:creator>
  <cp:keywords/>
  <dc:description/>
  <cp:lastModifiedBy>Stephanie Ratcliffe</cp:lastModifiedBy>
  <cp:revision>3</cp:revision>
  <dcterms:created xsi:type="dcterms:W3CDTF">2024-06-25T09:27:00Z</dcterms:created>
  <dcterms:modified xsi:type="dcterms:W3CDTF">2024-06-25T09:29:00Z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Kerri Bissoonauth</vt:lpwstr>
  </property>
  <property fmtid="{D5CDD505-2E9C-101B-9397-08002B2CF9AE}" pid="3" name="Order">
    <vt:lpwstr>19200.0000000000</vt:lpwstr>
  </property>
  <property fmtid="{D5CDD505-2E9C-101B-9397-08002B2CF9AE}" pid="4" name="display_urn:schemas-microsoft-com:office:office#Author">
    <vt:lpwstr>Kerri Bissoonauth</vt:lpwstr>
  </property>
</Properties>
</file>